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41E6" w14:textId="77777777" w:rsidR="00113C5A" w:rsidRDefault="00113C5A" w:rsidP="00AC35C4">
      <w:pPr>
        <w:pStyle w:val="F2-zkladn"/>
        <w:rPr>
          <w:b/>
          <w:sz w:val="28"/>
          <w:szCs w:val="28"/>
        </w:rPr>
      </w:pPr>
    </w:p>
    <w:p w14:paraId="5B69C807" w14:textId="77777777"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14:paraId="042BAC95" w14:textId="77777777" w:rsidR="000A2833" w:rsidRPr="009C3DB4" w:rsidRDefault="00337C5C" w:rsidP="00AC35C4">
      <w:pPr>
        <w:pStyle w:val="F2-zkladn"/>
        <w:rPr>
          <w:b/>
          <w:sz w:val="28"/>
          <w:szCs w:val="28"/>
        </w:rPr>
      </w:pPr>
      <w:r>
        <w:pict w14:anchorId="6BE80ED6">
          <v:rect id="AutoShape 2" o:spid="_x0000_s1030" alt="Fidelity International" href="https://www.fidelity.cz/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</w:p>
    <w:p w14:paraId="1A888328" w14:textId="64CC10CC" w:rsidR="000A2833" w:rsidRPr="00B362ED" w:rsidRDefault="00337C5C" w:rsidP="00AC35C4">
      <w:pPr>
        <w:pStyle w:val="F2-zkladn"/>
        <w:tabs>
          <w:tab w:val="right" w:pos="9070"/>
        </w:tabs>
      </w:pPr>
      <w:r>
        <w:pict w14:anchorId="24FECA5C">
          <v:rect id="AutoShape 5" o:spid="_x0000_s1029" alt="Fidelity International" href="https://www.fidelity.cz/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  <w:r w:rsidR="00DE3946" w:rsidRPr="00B362ED">
        <w:tab/>
        <w:t xml:space="preserve">Praha, </w:t>
      </w:r>
      <w:r w:rsidR="00B248D1">
        <w:t>25</w:t>
      </w:r>
      <w:r w:rsidR="00A30105">
        <w:t>. března 20</w:t>
      </w:r>
      <w:r w:rsidR="00A26BB0">
        <w:t>20</w:t>
      </w:r>
    </w:p>
    <w:p w14:paraId="7DE23021" w14:textId="77777777" w:rsidR="00B248D1" w:rsidRDefault="00B248D1" w:rsidP="00A30105">
      <w:pPr>
        <w:pStyle w:val="F2-zkladn"/>
        <w:tabs>
          <w:tab w:val="right" w:pos="9070"/>
        </w:tabs>
        <w:rPr>
          <w:b/>
          <w:sz w:val="28"/>
          <w:szCs w:val="28"/>
        </w:rPr>
      </w:pPr>
      <w:r w:rsidRPr="00B248D1">
        <w:rPr>
          <w:b/>
          <w:sz w:val="28"/>
          <w:szCs w:val="28"/>
        </w:rPr>
        <w:t>Proč je koronavirová krize spíš podobná té v roce 1918 než v 2008?</w:t>
      </w:r>
    </w:p>
    <w:p w14:paraId="47E5C605" w14:textId="77777777" w:rsidR="00B248D1" w:rsidRDefault="00B248D1" w:rsidP="00B248D1">
      <w:pPr>
        <w:pStyle w:val="Normlnweb"/>
        <w:shd w:val="clear" w:color="auto" w:fill="FFFFFF"/>
        <w:spacing w:before="0" w:line="330" w:lineRule="atLeast"/>
        <w:rPr>
          <w:b/>
          <w:lang w:val="x-none" w:eastAsia="x-none"/>
        </w:rPr>
      </w:pPr>
    </w:p>
    <w:p w14:paraId="0836EF59" w14:textId="57DCAD00" w:rsidR="00B248D1" w:rsidRPr="00B248D1" w:rsidRDefault="00B248D1" w:rsidP="00B248D1">
      <w:pPr>
        <w:pStyle w:val="Normlnweb"/>
        <w:shd w:val="clear" w:color="auto" w:fill="FFFFFF"/>
        <w:spacing w:before="0" w:line="330" w:lineRule="atLeast"/>
        <w:rPr>
          <w:b/>
          <w:lang w:val="x-none" w:eastAsia="x-none"/>
        </w:rPr>
      </w:pPr>
      <w:r w:rsidRPr="00B248D1">
        <w:rPr>
          <w:b/>
          <w:lang w:val="x-none" w:eastAsia="x-none"/>
        </w:rPr>
        <w:t>Aditya Khowala Portfolio Manager, Fidelity International</w:t>
      </w:r>
    </w:p>
    <w:p w14:paraId="3E88CBF3" w14:textId="77777777" w:rsidR="00B248D1" w:rsidRPr="00B248D1" w:rsidRDefault="00B248D1" w:rsidP="00B248D1">
      <w:pPr>
        <w:pStyle w:val="Normlnweb"/>
        <w:shd w:val="clear" w:color="auto" w:fill="FFFFFF"/>
        <w:spacing w:before="0" w:line="330" w:lineRule="atLeast"/>
        <w:rPr>
          <w:b/>
          <w:lang w:val="x-none" w:eastAsia="x-none"/>
        </w:rPr>
      </w:pPr>
    </w:p>
    <w:p w14:paraId="75586BC4" w14:textId="54EA92AB" w:rsidR="00A26BB0" w:rsidRDefault="00B248D1" w:rsidP="00B248D1">
      <w:pPr>
        <w:pStyle w:val="Normlnweb"/>
        <w:shd w:val="clear" w:color="auto" w:fill="FFFFFF"/>
        <w:spacing w:before="0" w:line="330" w:lineRule="atLeast"/>
        <w:rPr>
          <w:b/>
          <w:lang w:val="x-none" w:eastAsia="x-none"/>
        </w:rPr>
      </w:pPr>
      <w:r w:rsidRPr="00B248D1">
        <w:rPr>
          <w:b/>
          <w:lang w:val="x-none" w:eastAsia="x-none"/>
        </w:rPr>
        <w:t>Zapomeňte na klesající trhy z roku 2008, šoky související s Covid-19 jsou spíše jako chřipková pandemie z roku 1918. Zkoumání podobností mezi současností a tehdejší dobou nabízí vodítka, jak se současná pandemie může vyvíjet a ovlivňovat různá odvětví světové ekonomiky.</w:t>
      </w:r>
    </w:p>
    <w:p w14:paraId="460996B1" w14:textId="77777777" w:rsidR="00B248D1" w:rsidRDefault="00B248D1" w:rsidP="00B248D1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</w:p>
    <w:p w14:paraId="13CF673A" w14:textId="2B4D1440" w:rsidR="006640DB" w:rsidRPr="006640DB" w:rsidRDefault="006640DB" w:rsidP="006640DB">
      <w:pPr>
        <w:pStyle w:val="Normlnweb"/>
        <w:shd w:val="clear" w:color="auto" w:fill="FFFFFF"/>
        <w:spacing w:before="0" w:line="330" w:lineRule="atLeast"/>
        <w:rPr>
          <w:b/>
          <w:bCs/>
          <w:color w:val="323130"/>
          <w:bdr w:val="none" w:sz="0" w:space="0" w:color="auto" w:frame="1"/>
        </w:rPr>
      </w:pPr>
      <w:r w:rsidRPr="006640DB">
        <w:rPr>
          <w:b/>
          <w:bCs/>
          <w:color w:val="323130"/>
          <w:bdr w:val="none" w:sz="0" w:space="0" w:color="auto" w:frame="1"/>
        </w:rPr>
        <w:t>Velká finanční krize v roce 2008 byla recesí bilance</w:t>
      </w:r>
    </w:p>
    <w:p w14:paraId="16B7C7C2" w14:textId="77777777" w:rsidR="006640DB" w:rsidRPr="006640DB" w:rsidRDefault="006640DB" w:rsidP="006640DB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  <w:r w:rsidRPr="006640DB">
        <w:rPr>
          <w:color w:val="323130"/>
          <w:bdr w:val="none" w:sz="0" w:space="0" w:color="auto" w:frame="1"/>
        </w:rPr>
        <w:t>Jakkoli je tato krize špatná, není to velká finanční krize. Velká finanční krize byla bilanční recese vyvolaná zhrouceným trhem s nemovitostmi a nedostatkem důvěry v banky. Bydlení je největším zdrojem spotřebitelského bohatství v hodnotě přibližně 11 bilionů dolarů, takže velké poklesy cen nemovitostí nebo omezení půjček mohou způsobit strukturální zpomalení. V USA máme v nedávné paměti pouze dva krachy trhu s nemovitostmi, a to v letech 1929 a 2008/2009. Obě tyto události vedly k významnému hospodářskému zpomalení a trvalo dlouho, než se systém uzdravil a ekonomika se dostala zpět na svou úroveň.</w:t>
      </w:r>
    </w:p>
    <w:p w14:paraId="23770CFC" w14:textId="77777777" w:rsidR="006640DB" w:rsidRPr="006640DB" w:rsidRDefault="006640DB" w:rsidP="006640DB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</w:p>
    <w:p w14:paraId="1D5C8CC2" w14:textId="158EBB59" w:rsidR="00A26BB0" w:rsidRPr="006640DB" w:rsidRDefault="006640DB" w:rsidP="006640DB">
      <w:pPr>
        <w:pStyle w:val="Normlnweb"/>
        <w:shd w:val="clear" w:color="auto" w:fill="FFFFFF"/>
        <w:spacing w:before="0" w:line="330" w:lineRule="atLeast"/>
        <w:rPr>
          <w:color w:val="323130"/>
          <w:sz w:val="28"/>
          <w:szCs w:val="28"/>
          <w:bdr w:val="none" w:sz="0" w:space="0" w:color="auto" w:frame="1"/>
        </w:rPr>
      </w:pPr>
      <w:r w:rsidRPr="006640DB">
        <w:rPr>
          <w:color w:val="323130"/>
          <w:bdr w:val="none" w:sz="0" w:space="0" w:color="auto" w:frame="1"/>
        </w:rPr>
        <w:t>Tentokrát jsou nejzranitelnější odvětví turistické přepravy, cestovního ruchu a maloobchodu, ale celková doba na zotavení by mohla být kratší, pokud budou platit původní trendy.</w:t>
      </w:r>
    </w:p>
    <w:p w14:paraId="78DAC678" w14:textId="77777777" w:rsidR="006640DB" w:rsidRDefault="006640DB" w:rsidP="006640DB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</w:p>
    <w:p w14:paraId="531D2C0F" w14:textId="7BFCEB97" w:rsidR="006640DB" w:rsidRPr="006640DB" w:rsidRDefault="006640DB" w:rsidP="006640DB">
      <w:pPr>
        <w:pStyle w:val="Normlnweb"/>
        <w:shd w:val="clear" w:color="auto" w:fill="FFFFFF"/>
        <w:spacing w:before="0" w:line="330" w:lineRule="atLeast"/>
        <w:rPr>
          <w:b/>
          <w:bCs/>
          <w:color w:val="323130"/>
          <w:bdr w:val="none" w:sz="0" w:space="0" w:color="auto" w:frame="1"/>
        </w:rPr>
      </w:pPr>
      <w:r w:rsidRPr="006640DB">
        <w:rPr>
          <w:b/>
          <w:bCs/>
          <w:color w:val="323130"/>
          <w:bdr w:val="none" w:sz="0" w:space="0" w:color="auto" w:frame="1"/>
        </w:rPr>
        <w:t>Náraz Covid-19 je podobný vypuknutí krize 1918-19</w:t>
      </w:r>
    </w:p>
    <w:p w14:paraId="19AD7BEE" w14:textId="550E4BE5" w:rsidR="00A26BB0" w:rsidRDefault="006640DB" w:rsidP="006640DB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  <w:r w:rsidRPr="006640DB">
        <w:rPr>
          <w:color w:val="323130"/>
          <w:bdr w:val="none" w:sz="0" w:space="0" w:color="auto" w:frame="1"/>
        </w:rPr>
        <w:t>Podle mého názoru bychom se spíše než porovnávání se situací před 12 lety měli věnovat události před 102 lety. Je to proto, že „Covid-19“ je krizí založenou na událostech, které jsou v některých ohledech srovnatelné s pandemií chřipky v letech 1918-1919. Recese tehdy trvala pouze sedm měsíců, i když druhá vlna infekcí, která začala na podzim 1918 byla mnohem smrtelnější než první. Během pandemie v letech 1918-1919, v době, kdy se svět zotavoval z první světové války, zemřelo 5 procent světové populace a jedna třetina se nakazila. My máme za sebou již druhý měsíc po propuknutí současné pandemie ve světě a naše zdravotnické systémy jsou mnohem lépe organizované než v roce 1918. Nicméně teprve uvidíme, jak bude virus postupovat a jak brzy bude zkrocený. Je však užitečné přemýšlet nad rozsahem minulých krizí založených na podobných událostech při srovnávání se strukturálními a cyklickými krizemi zejména proto, že se čínská data o nových případech od začátku března každý týden zlepšují a v několika oblastech se země blíží normálnímu stavu.</w:t>
      </w:r>
    </w:p>
    <w:p w14:paraId="20827A24" w14:textId="77777777" w:rsidR="006640DB" w:rsidRDefault="006640DB" w:rsidP="006640DB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</w:p>
    <w:p w14:paraId="6ECA0313" w14:textId="48948AC6" w:rsidR="006640DB" w:rsidRPr="006640DB" w:rsidRDefault="006640DB" w:rsidP="006640DB">
      <w:pPr>
        <w:pStyle w:val="F2-zkladn"/>
        <w:tabs>
          <w:tab w:val="right" w:pos="9070"/>
        </w:tabs>
        <w:rPr>
          <w:b/>
          <w:bCs/>
          <w:color w:val="323130"/>
          <w:bdr w:val="none" w:sz="0" w:space="0" w:color="auto" w:frame="1"/>
        </w:rPr>
      </w:pPr>
      <w:r w:rsidRPr="006640DB">
        <w:rPr>
          <w:b/>
          <w:bCs/>
          <w:color w:val="323130"/>
          <w:bdr w:val="none" w:sz="0" w:space="0" w:color="auto" w:frame="1"/>
        </w:rPr>
        <w:lastRenderedPageBreak/>
        <w:t>Největší dopad bude na turistickou přepravu, cestovní ruch a maloobchod</w:t>
      </w:r>
    </w:p>
    <w:p w14:paraId="74E95DCB" w14:textId="45CC2622" w:rsidR="006640DB" w:rsidRPr="006640DB" w:rsidRDefault="006640DB" w:rsidP="006640DB">
      <w:pPr>
        <w:pStyle w:val="F2-zkladn"/>
        <w:tabs>
          <w:tab w:val="right" w:pos="9070"/>
        </w:tabs>
        <w:spacing w:before="0"/>
        <w:rPr>
          <w:color w:val="323130"/>
          <w:bdr w:val="none" w:sz="0" w:space="0" w:color="auto" w:frame="1"/>
        </w:rPr>
      </w:pPr>
      <w:r w:rsidRPr="006640DB">
        <w:rPr>
          <w:color w:val="323130"/>
          <w:bdr w:val="none" w:sz="0" w:space="0" w:color="auto" w:frame="1"/>
        </w:rPr>
        <w:t xml:space="preserve">Jak jsme poprvé viděli v Číně, poté v Asii a dále na celém světě, nejpalčivější dopady opatření na omezení šíření viru zaznamenává odvětví cestování a cestovního ruchu. Vzhledem k tomu, že toto odvětví představuje 10,4 procenta celosvětové ekonomiky a zaměstnává 10 procent celosvětové pracovní síly, budou dopady značné. Podle World Travel and Tourism Council trvá v průměru přibližně 19,4 měsíců, než se odvětví zotaví z epidemií, což </w:t>
      </w:r>
      <w:r w:rsidR="00CC245B">
        <w:rPr>
          <w:color w:val="323130"/>
          <w:bdr w:val="none" w:sz="0" w:space="0" w:color="auto" w:frame="1"/>
        </w:rPr>
        <w:t>je</w:t>
      </w:r>
      <w:r w:rsidRPr="006640DB">
        <w:rPr>
          <w:color w:val="323130"/>
          <w:bdr w:val="none" w:sz="0" w:space="0" w:color="auto" w:frame="1"/>
        </w:rPr>
        <w:t xml:space="preserve"> dokonce déle, než 11,5</w:t>
      </w:r>
      <w:r w:rsidRPr="006640DB">
        <w:rPr>
          <w:color w:val="323130"/>
          <w:bdr w:val="none" w:sz="0" w:space="0" w:color="auto" w:frame="1"/>
        </w:rPr>
        <w:t xml:space="preserve"> </w:t>
      </w:r>
      <w:r w:rsidRPr="006640DB">
        <w:rPr>
          <w:color w:val="323130"/>
          <w:bdr w:val="none" w:sz="0" w:space="0" w:color="auto" w:frame="1"/>
        </w:rPr>
        <w:t xml:space="preserve">měsíců, které jsou zapotřebí k vyrovnání situace po teroristických útocích. Letecké společnosti, výletní lodě, hotely, restaurace a přidružená odvětví v dodavatelských řetězcích budou </w:t>
      </w:r>
      <w:r w:rsidR="00CC245B">
        <w:rPr>
          <w:color w:val="323130"/>
          <w:bdr w:val="none" w:sz="0" w:space="0" w:color="auto" w:frame="1"/>
        </w:rPr>
        <w:t xml:space="preserve">v </w:t>
      </w:r>
      <w:r w:rsidRPr="006640DB">
        <w:rPr>
          <w:color w:val="323130"/>
          <w:bdr w:val="none" w:sz="0" w:space="0" w:color="auto" w:frame="1"/>
        </w:rPr>
        <w:t>příštích týdnech a měsících trpět a návrat k normálu bude trvat alespoň do příštího léta.</w:t>
      </w:r>
    </w:p>
    <w:p w14:paraId="63A800DA" w14:textId="19859288" w:rsidR="006640DB" w:rsidRPr="006640DB" w:rsidRDefault="006640DB" w:rsidP="006640DB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6640DB">
        <w:rPr>
          <w:color w:val="323130"/>
          <w:bdr w:val="none" w:sz="0" w:space="0" w:color="auto" w:frame="1"/>
        </w:rPr>
        <w:t>Maloobchod se stavebninami v souvislosti s dalším snížením ekonomiky v příštích dvou čtvrtletích prudce poklesne. Odvětví už chvíli bojuje a pokles důvěry spotřebitelů a zvyšování úvěrového stresu pravděpodobně způsobí, že řada podniků půjde ke dnu.</w:t>
      </w:r>
    </w:p>
    <w:p w14:paraId="077EEAEE" w14:textId="60DA47E0" w:rsidR="006640DB" w:rsidRPr="006640DB" w:rsidRDefault="006640DB" w:rsidP="006640DB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6640DB">
        <w:rPr>
          <w:color w:val="323130"/>
          <w:bdr w:val="none" w:sz="0" w:space="0" w:color="auto" w:frame="1"/>
        </w:rPr>
        <w:t>V roce 1918 neex</w:t>
      </w:r>
      <w:r w:rsidRPr="006640DB">
        <w:rPr>
          <w:color w:val="323130"/>
          <w:bdr w:val="none" w:sz="0" w:space="0" w:color="auto" w:frame="1"/>
        </w:rPr>
        <w:t>i</w:t>
      </w:r>
      <w:r w:rsidRPr="006640DB">
        <w:rPr>
          <w:color w:val="323130"/>
          <w:bdr w:val="none" w:sz="0" w:space="0" w:color="auto" w:frame="1"/>
        </w:rPr>
        <w:t>stoval internet a řada podniků byla zasažena. Ekonomická data z té doby jsou vzácná, ale studie, kterou vytvořil St. Louis Fed roku 2007 o pandemii v roce 1918, zmiňuje novinové články z Little Rock, Arkansas. Ty reportují, že podle obchodníků se jejich byznys během vypuknutí pandemie snížil o 40</w:t>
      </w:r>
      <w:r w:rsidR="00CC245B">
        <w:rPr>
          <w:color w:val="323130"/>
          <w:bdr w:val="none" w:sz="0" w:space="0" w:color="auto" w:frame="1"/>
        </w:rPr>
        <w:t>-</w:t>
      </w:r>
      <w:r w:rsidRPr="006640DB">
        <w:rPr>
          <w:color w:val="323130"/>
          <w:bdr w:val="none" w:sz="0" w:space="0" w:color="auto" w:frame="1"/>
        </w:rPr>
        <w:t>70 procent, zatímco u maloobchodních prodejen potravin klesl jen o jednu třetinu. Jediným obchodem v Little Rock, který v tom roce zaznamenal nárůst aktivity, byla lékárna.</w:t>
      </w:r>
    </w:p>
    <w:p w14:paraId="6113FA4C" w14:textId="77777777" w:rsidR="006640DB" w:rsidRPr="006640DB" w:rsidRDefault="006640DB" w:rsidP="006640DB">
      <w:pPr>
        <w:pStyle w:val="F2-zkladn"/>
        <w:tabs>
          <w:tab w:val="right" w:pos="9070"/>
        </w:tabs>
        <w:rPr>
          <w:b/>
          <w:bCs/>
          <w:color w:val="323130"/>
          <w:bdr w:val="none" w:sz="0" w:space="0" w:color="auto" w:frame="1"/>
        </w:rPr>
      </w:pPr>
      <w:r w:rsidRPr="006640DB">
        <w:rPr>
          <w:b/>
          <w:bCs/>
          <w:color w:val="323130"/>
          <w:bdr w:val="none" w:sz="0" w:space="0" w:color="auto" w:frame="1"/>
        </w:rPr>
        <w:t>Neopakování roku 2008</w:t>
      </w:r>
    </w:p>
    <w:p w14:paraId="141DC7E1" w14:textId="24DD19CD" w:rsidR="006640DB" w:rsidRPr="006640DB" w:rsidRDefault="006640DB" w:rsidP="006640DB">
      <w:pPr>
        <w:pStyle w:val="F2-zkladn"/>
        <w:tabs>
          <w:tab w:val="right" w:pos="9070"/>
        </w:tabs>
        <w:spacing w:before="0"/>
        <w:rPr>
          <w:color w:val="323130"/>
          <w:bdr w:val="none" w:sz="0" w:space="0" w:color="auto" w:frame="1"/>
        </w:rPr>
      </w:pPr>
      <w:r w:rsidRPr="006640DB">
        <w:rPr>
          <w:color w:val="323130"/>
          <w:bdr w:val="none" w:sz="0" w:space="0" w:color="auto" w:frame="1"/>
        </w:rPr>
        <w:t>V současné době dostaly finanční instituce, zejména banky, velký zásah a obchodují se výrazně pod jejich účetní hodnotou. Dividendové výnosy jsou ale přesto mnohem vyšší než americké státní dluhopisy. Investoři opakují svoje strategie z dob velké finanční krize prodejem těchto akcií s předpokladem, že banky budou trpět stejně jako tehdy. Domnívám se však, že bankovní systém USA je odolnější než v roce 2008, s mnohem lepší kontrolou rizik a výrazně vyšším kapitálem.</w:t>
      </w:r>
    </w:p>
    <w:p w14:paraId="2316E001" w14:textId="0B9D76C4" w:rsidR="006640DB" w:rsidRPr="006640DB" w:rsidRDefault="006640DB" w:rsidP="006640DB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6640DB">
        <w:rPr>
          <w:color w:val="323130"/>
          <w:bdr w:val="none" w:sz="0" w:space="0" w:color="auto" w:frame="1"/>
        </w:rPr>
        <w:t>Většina úvěrového rizika nyní spočívá na nebankovních finančních společnostech, jako jsou společnosti private equity, venture capital, hedge fondy a pojišťovací společnosti. Tyto společnosti budou zažívat největší ztráty, zatímco banky to, jak očekávám, projdou podobným způsobem, jak se jim dařilo v době technologického rozkvětu v letech 2001/</w:t>
      </w:r>
      <w:r w:rsidR="00CC245B">
        <w:rPr>
          <w:color w:val="323130"/>
          <w:bdr w:val="none" w:sz="0" w:space="0" w:color="auto" w:frame="1"/>
        </w:rPr>
        <w:t>20</w:t>
      </w:r>
      <w:bookmarkStart w:id="0" w:name="_GoBack"/>
      <w:bookmarkEnd w:id="0"/>
      <w:r w:rsidRPr="006640DB">
        <w:rPr>
          <w:color w:val="323130"/>
          <w:bdr w:val="none" w:sz="0" w:space="0" w:color="auto" w:frame="1"/>
        </w:rPr>
        <w:t>02.</w:t>
      </w:r>
    </w:p>
    <w:p w14:paraId="4DCA865C" w14:textId="67C85A40" w:rsidR="00073A88" w:rsidRPr="006640DB" w:rsidRDefault="006640DB" w:rsidP="006640DB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6640DB">
        <w:rPr>
          <w:color w:val="323130"/>
          <w:bdr w:val="none" w:sz="0" w:space="0" w:color="auto" w:frame="1"/>
        </w:rPr>
        <w:t>Průmysl se mezitím již začal zotavovat ze zpomalení a tohle všechno už v minulosti zažil. S tím, jak se Čína začíná vracet zpátky a zásoby se tvoří znovu, očekávám, že se průmyslová výroba v příštích šesti měsících zotaví rychleji než spotřebitelská odvětví. A vzhledem k tomu, že více než 75 procent akcií celkově nabízí vyšší výnosy než americké státní dluhopisy – rekordně vysoké – poměry rizika / výnosu vypadají ve střednědobém horizontu příznivěji, protože vážíme ekonomický dopad viru s ohledem na velikost peněžní zásoby a fiskální odpověď. Zatímco rok 2008 je v myslích účastníků trhu stále čerstvý, tento šok se bude odehrávat odlišně, v epicentru bude spíš cestovní ruch než banky.</w:t>
      </w:r>
    </w:p>
    <w:p w14:paraId="0C3B2BDC" w14:textId="77777777" w:rsidR="006640DB" w:rsidRDefault="006640DB" w:rsidP="006640DB">
      <w:pPr>
        <w:pStyle w:val="F2-zkladn"/>
        <w:tabs>
          <w:tab w:val="right" w:pos="9070"/>
        </w:tabs>
        <w:rPr>
          <w:b/>
        </w:rPr>
      </w:pPr>
    </w:p>
    <w:p w14:paraId="6D914DE3" w14:textId="77777777"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14:paraId="7A65EED4" w14:textId="77777777" w:rsidR="001A0CB6" w:rsidRPr="009C3DB4" w:rsidRDefault="001A0CB6" w:rsidP="00AC35C4">
      <w:pPr>
        <w:spacing w:before="0" w:line="360" w:lineRule="auto"/>
        <w:rPr>
          <w:b/>
        </w:rPr>
      </w:pPr>
    </w:p>
    <w:p w14:paraId="3388347A" w14:textId="77777777"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14:paraId="0B51F0BC" w14:textId="77777777"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14:paraId="618D098D" w14:textId="77777777" w:rsidR="001A0CB6" w:rsidRPr="009C3DB4" w:rsidRDefault="001A0CB6" w:rsidP="00AC35C4">
      <w:pPr>
        <w:spacing w:before="0" w:line="240" w:lineRule="atLeast"/>
      </w:pPr>
    </w:p>
    <w:p w14:paraId="7AB45B55" w14:textId="77777777"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14:paraId="7420C868" w14:textId="77777777" w:rsidR="001A0CB6" w:rsidRPr="009C3DB4" w:rsidRDefault="001A0CB6" w:rsidP="00AC35C4">
      <w:pPr>
        <w:spacing w:before="0" w:line="240" w:lineRule="atLeast"/>
      </w:pPr>
      <w:r w:rsidRPr="009C3DB4">
        <w:lastRenderedPageBreak/>
        <w:t>110 00 Praha 1</w:t>
      </w:r>
    </w:p>
    <w:p w14:paraId="28B539CA" w14:textId="77777777" w:rsidR="001A0CB6" w:rsidRPr="009C3DB4" w:rsidRDefault="001A0CB6" w:rsidP="00AC35C4">
      <w:pPr>
        <w:spacing w:before="0" w:line="240" w:lineRule="atLeast"/>
      </w:pPr>
      <w:r w:rsidRPr="009C3DB4">
        <w:t>gsm: + 420 731 613 669</w:t>
      </w:r>
    </w:p>
    <w:p w14:paraId="4B76C589" w14:textId="77777777" w:rsidR="001A0CB6" w:rsidRPr="009C3DB4" w:rsidRDefault="00337C5C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14:paraId="2684F9BB" w14:textId="77777777"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8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14:paraId="566D300F" w14:textId="77777777"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14:paraId="35D980F9" w14:textId="77777777"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r w:rsidRPr="008F1A81">
        <w:rPr>
          <w:b/>
          <w:sz w:val="18"/>
        </w:rPr>
        <w:t xml:space="preserve">Fidelity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(assets under administration)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Fidelity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74359BE8" w14:textId="77777777"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14:paraId="47AB101D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>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14:paraId="0895F3B1" w14:textId="77777777"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14:paraId="7BB287E4" w14:textId="77777777"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 xml:space="preserve">FIL (Luxembourg) S.A. Zweigniederlassung Wien, Mariahilfer Straße 36, 1070 Vídeň, IČO: FN 374007 </w:t>
      </w:r>
    </w:p>
    <w:p w14:paraId="0B1437AF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21A8DFCF" w14:textId="77777777"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>Notes to editors</w:t>
      </w:r>
    </w:p>
    <w:p w14:paraId="669EDA9E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authorised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735D81B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Fidelity only offers information on products and services and does not provide investment advice based on individual circumstances, other than when specifically stipulated by an appropriately authorised firm, in a formal communication with the client.</w:t>
      </w:r>
    </w:p>
    <w:p w14:paraId="67B0758C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organisation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authorised for distribution or where no such authorisation is required.</w:t>
      </w:r>
    </w:p>
    <w:p w14:paraId="779A71DE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7B0F5512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>, FIL (Luxembourg) S.A. 2a, rue Albert Borschette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Schottengasse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>: Our Paying agent UniCredit Bank Czech Republic a.s., Zeletavska 1525/1, 14092 Prag 4 - Michle,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authorised and supervised by the AMF (Autorité des Marchés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</w:t>
      </w:r>
      <w:r w:rsidRPr="00681745">
        <w:rPr>
          <w:color w:val="000000"/>
          <w:sz w:val="18"/>
          <w:szCs w:val="18"/>
          <w:lang w:val="en-US"/>
        </w:rPr>
        <w:lastRenderedPageBreak/>
        <w:t>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> FIL Investment Services GmbH, Postfach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Zentralbank Österreich AG, Akademia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>: FIL (Luxembourg) S.A., Netherlands Branch (registered with the AFM), World Trade Centre, Tower H, 6th Floor, Zuidplein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a.s., Sancova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163F8475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>, authorised and supervised by the CSSF (Commission de</w:t>
      </w:r>
    </w:p>
    <w:p w14:paraId="1DC94C28" w14:textId="77777777"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Surveillance du Secteur Financier) / FIL Gestion, authorised and supervised by the AMF (Autorité des Marchés Financiers) / FIL Investments Services GmbH.</w:t>
      </w:r>
    </w:p>
    <w:sectPr w:rsidR="00645857" w:rsidRPr="00A30105" w:rsidSect="002F1160">
      <w:headerReference w:type="default" r:id="rId9"/>
      <w:footerReference w:type="default" r:id="rId10"/>
      <w:headerReference w:type="first" r:id="rId11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55CF2" w14:textId="77777777" w:rsidR="00337C5C" w:rsidRDefault="00337C5C">
      <w:r>
        <w:separator/>
      </w:r>
    </w:p>
  </w:endnote>
  <w:endnote w:type="continuationSeparator" w:id="0">
    <w:p w14:paraId="091010D0" w14:textId="77777777" w:rsidR="00337C5C" w:rsidRDefault="0033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6D45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F9146" w14:textId="77777777" w:rsidR="00337C5C" w:rsidRDefault="00337C5C">
      <w:r>
        <w:separator/>
      </w:r>
    </w:p>
  </w:footnote>
  <w:footnote w:type="continuationSeparator" w:id="0">
    <w:p w14:paraId="762CD180" w14:textId="77777777" w:rsidR="00337C5C" w:rsidRDefault="00337C5C">
      <w:r>
        <w:continuationSeparator/>
      </w:r>
    </w:p>
  </w:footnote>
  <w:footnote w:type="continuationNotice" w:id="1">
    <w:p w14:paraId="0A1B664C" w14:textId="77777777" w:rsidR="00337C5C" w:rsidRDefault="00337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05C17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BC0F" w14:textId="77777777" w:rsidR="001D1343" w:rsidRDefault="00337C5C">
    <w:pPr>
      <w:pStyle w:val="Zhlav"/>
    </w:pPr>
    <w:r>
      <w:rPr>
        <w:noProof/>
      </w:rPr>
      <w:pict w14:anchorId="31061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29.25pt;margin-top:20.1pt;width:124.5pt;height:38.25pt;z-index:1">
          <v:imagedata r:id="rId1" o:title=""/>
          <w10:wrap type="square"/>
        </v:shape>
      </w:pict>
    </w:r>
  </w:p>
  <w:p w14:paraId="4A8C7805" w14:textId="77777777" w:rsidR="001D1343" w:rsidRDefault="001D1343">
    <w:pPr>
      <w:pStyle w:val="Zhlav"/>
    </w:pPr>
  </w:p>
  <w:p w14:paraId="09E5393A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5E2632F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69541678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765C0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8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EF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A4E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46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4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04C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3DB846CE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BCC66B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A3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4D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C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309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2C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CC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22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37C5C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640DB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6BB0"/>
    <w:rsid w:val="00A2793B"/>
    <w:rsid w:val="00A30105"/>
    <w:rsid w:val="00A31ADE"/>
    <w:rsid w:val="00A35D3C"/>
    <w:rsid w:val="00A37C9A"/>
    <w:rsid w:val="00A41C95"/>
    <w:rsid w:val="00A433A9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48D1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245B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4F8AB316"/>
  <w15:chartTrackingRefBased/>
  <w15:docId w15:val="{1101D5FF-D256-443B-A466-DC1B0107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customStyle="1" w:styleId="Podtitul">
    <w:name w:val="Podtitul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4A6C-F871-47DB-A84A-4D99F955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11527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4</cp:revision>
  <cp:lastPrinted>2015-11-30T17:29:00Z</cp:lastPrinted>
  <dcterms:created xsi:type="dcterms:W3CDTF">2020-03-25T11:17:00Z</dcterms:created>
  <dcterms:modified xsi:type="dcterms:W3CDTF">2020-03-25T11:27:00Z</dcterms:modified>
</cp:coreProperties>
</file>